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Body A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Body A"/>
        <w:rPr>
          <w:rFonts w:ascii="Arial" w:hAnsi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011680" cy="1472259"/>
            <wp:effectExtent l="0" t="0" r="0" b="0"/>
            <wp:docPr id="1073741825" name="officeArt object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lose up of a signDescription automatically generated" descr="A close up of a sign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722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Body A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Heading"/>
        <w:rPr>
          <w:rFonts w:ascii="Avenir Heavy" w:cs="Avenir Heavy" w:hAnsi="Avenir Heavy" w:eastAsia="Avenir Heavy"/>
          <w:b w:val="0"/>
          <w:bCs w:val="0"/>
          <w:sz w:val="28"/>
          <w:szCs w:val="28"/>
        </w:rPr>
      </w:pPr>
      <w:r>
        <w:rPr>
          <w:rFonts w:ascii="Avenir Heavy" w:hAnsi="Avenir Heavy"/>
          <w:b w:val="0"/>
          <w:bCs w:val="0"/>
          <w:sz w:val="28"/>
          <w:szCs w:val="28"/>
          <w:rtl w:val="0"/>
          <w:lang w:val="en-US"/>
        </w:rPr>
        <w:t>Wallingford Museum News</w:t>
      </w:r>
    </w:p>
    <w:p>
      <w:pPr>
        <w:pStyle w:val="Body"/>
      </w:pP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Wallingford Museum opens from Tuesday March 3rd 2026. Please look at the website for opening times. </w:t>
      </w:r>
      <w:r>
        <w:rPr>
          <w:rStyle w:val="Hyperlink.0"/>
          <w:rFonts w:ascii="Avenir Book" w:cs="Avenir Book" w:hAnsi="Avenir Book" w:eastAsia="Avenir Book"/>
          <w:sz w:val="20"/>
          <w:szCs w:val="20"/>
        </w:rPr>
        <w:fldChar w:fldCharType="begin" w:fldLock="0"/>
      </w:r>
      <w:r>
        <w:rPr>
          <w:rStyle w:val="Hyperlink.0"/>
          <w:rFonts w:ascii="Avenir Book" w:cs="Avenir Book" w:hAnsi="Avenir Book" w:eastAsia="Avenir Book"/>
          <w:sz w:val="20"/>
          <w:szCs w:val="20"/>
        </w:rPr>
        <w:instrText xml:space="preserve"> HYPERLINK "https://www.wallingfordmuseum.org.uk"</w:instrText>
      </w:r>
      <w:r>
        <w:rPr>
          <w:rStyle w:val="Hyperlink.0"/>
          <w:rFonts w:ascii="Avenir Book" w:cs="Avenir Book" w:hAnsi="Avenir Book" w:eastAsia="Avenir Book"/>
          <w:sz w:val="20"/>
          <w:szCs w:val="20"/>
        </w:rPr>
        <w:fldChar w:fldCharType="separate" w:fldLock="0"/>
      </w:r>
      <w:r>
        <w:rPr>
          <w:rStyle w:val="Hyperlink.0"/>
          <w:rFonts w:ascii="Avenir Book" w:hAnsi="Avenir Book"/>
          <w:sz w:val="20"/>
          <w:szCs w:val="20"/>
          <w:rtl w:val="0"/>
        </w:rPr>
        <w:t>https://www.wallingfordmuseum.org.uk</w:t>
      </w:r>
      <w:r>
        <w:rPr>
          <w:rFonts w:ascii="Avenir Book" w:cs="Avenir Book" w:hAnsi="Avenir Book" w:eastAsia="Avenir Book"/>
          <w:sz w:val="20"/>
          <w:szCs w:val="20"/>
        </w:rPr>
        <w:fldChar w:fldCharType="end" w:fldLock="0"/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We look forward to another fabulous event with the return of the Saxons to the museum!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 w:hint="default"/>
          <w:sz w:val="20"/>
          <w:szCs w:val="20"/>
          <w:rtl w:val="0"/>
          <w:lang w:val="en-US"/>
        </w:rPr>
        <w:t>‘</w:t>
      </w:r>
      <w:r>
        <w:rPr>
          <w:rFonts w:ascii="Avenir Heavy" w:hAnsi="Avenir Heavy"/>
          <w:sz w:val="20"/>
          <w:szCs w:val="20"/>
          <w:rtl w:val="0"/>
          <w:lang w:val="en-US"/>
        </w:rPr>
        <w:t>Meet the Anglo-Saxons!</w:t>
      </w:r>
      <w:r>
        <w:rPr>
          <w:rFonts w:ascii="Avenir Heavy" w:hAnsi="Avenir Heavy" w:hint="default"/>
          <w:sz w:val="20"/>
          <w:szCs w:val="20"/>
          <w:rtl w:val="0"/>
          <w:lang w:val="en-US"/>
        </w:rPr>
        <w:t>”</w:t>
      </w:r>
      <w:r>
        <w:rPr>
          <w:rFonts w:ascii="Avenir Heavy" w:hAnsi="Avenir Heavy"/>
          <w:sz w:val="20"/>
          <w:szCs w:val="20"/>
          <w:rtl w:val="0"/>
          <w:lang w:val="en-US"/>
        </w:rPr>
        <w:t xml:space="preserve"> An event for all the family</w:t>
      </w:r>
      <w:r>
        <w:rPr>
          <w:rFonts w:ascii="Avenir Book" w:hAnsi="Avenir Book"/>
          <w:sz w:val="20"/>
          <w:szCs w:val="20"/>
          <w:rtl w:val="0"/>
          <w:lang w:val="en-US"/>
        </w:rPr>
        <w:t>. This is a drop in event running from 11am to 4pm.</w:t>
      </w:r>
      <w:r>
        <w:rPr>
          <w:rFonts w:ascii="Avenir Book" w:hAnsi="Avenir Book" w:hint="default"/>
          <w:sz w:val="20"/>
          <w:szCs w:val="20"/>
          <w:rtl w:val="0"/>
        </w:rPr>
        <w:t> </w:t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Saturday 11th April 2026. </w:t>
      </w:r>
      <w:r>
        <w:rPr>
          <w:rFonts w:ascii="Avenir Book" w:hAnsi="Avenir Book"/>
          <w:sz w:val="20"/>
          <w:szCs w:val="20"/>
          <w:rtl w:val="0"/>
          <w:lang w:val="en-US"/>
        </w:rPr>
        <w:t>Please note that normal museum admission fee applies</w:t>
      </w:r>
      <w:r>
        <w:rPr>
          <w:rFonts w:ascii="Avenir Book" w:hAnsi="Avenir Book"/>
          <w:sz w:val="20"/>
          <w:szCs w:val="20"/>
          <w:rtl w:val="0"/>
          <w:lang w:val="en-US"/>
        </w:rPr>
        <w:t>, adults</w:t>
      </w:r>
      <w:r>
        <w:rPr>
          <w:rFonts w:ascii="Avenir Book" w:hAnsi="Avenir Book" w:hint="default"/>
          <w:sz w:val="20"/>
          <w:szCs w:val="20"/>
          <w:rtl w:val="0"/>
        </w:rPr>
        <w:t xml:space="preserve"> £</w:t>
      </w:r>
      <w:r>
        <w:rPr>
          <w:rFonts w:ascii="Avenir Book" w:hAnsi="Avenir Book"/>
          <w:sz w:val="20"/>
          <w:szCs w:val="20"/>
          <w:rtl w:val="0"/>
          <w:lang w:val="en-US"/>
        </w:rPr>
        <w:t>6 and accompanied children free.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 w:hint="default"/>
          <w:sz w:val="20"/>
          <w:szCs w:val="20"/>
          <w:rtl w:val="0"/>
        </w:rPr>
        <w:t> 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Come and discover more about the day to day lives of the people who lived and worked within the Anglo-Saxon burh of Wallingford. Weaving to writing, wheels to warfare, how would you manage without electricity, plastic materials or modern transport?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The museum offers three intriguing and different </w:t>
      </w:r>
      <w:r>
        <w:rPr>
          <w:rFonts w:ascii="Avenir Heavy" w:hAnsi="Avenir Heavy"/>
          <w:sz w:val="20"/>
          <w:szCs w:val="20"/>
          <w:rtl w:val="0"/>
          <w:lang w:val="en-US"/>
        </w:rPr>
        <w:t>exhibitions</w:t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 this year, something for all of the family. 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Body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Heavy" w:hAnsi="Avenir Heavy" w:hint="default"/>
          <w:sz w:val="20"/>
          <w:szCs w:val="20"/>
          <w:rtl w:val="0"/>
          <w:lang w:val="en-US"/>
        </w:rPr>
        <w:t>‘</w:t>
      </w:r>
      <w:r>
        <w:rPr>
          <w:rFonts w:ascii="Avenir Heavy" w:hAnsi="Avenir Heavy"/>
          <w:sz w:val="20"/>
          <w:szCs w:val="20"/>
          <w:rtl w:val="0"/>
          <w:lang w:val="en-US"/>
        </w:rPr>
        <w:t>Through Wallingford</w:t>
      </w:r>
      <w:r>
        <w:rPr>
          <w:rFonts w:ascii="Avenir Heavy" w:hAnsi="Avenir Heavy" w:hint="default"/>
          <w:sz w:val="20"/>
          <w:szCs w:val="20"/>
          <w:rtl w:val="1"/>
        </w:rPr>
        <w:t>’</w:t>
      </w:r>
      <w:r>
        <w:rPr>
          <w:rFonts w:ascii="Avenir Heavy" w:hAnsi="Avenir Heavy"/>
          <w:sz w:val="20"/>
          <w:szCs w:val="20"/>
          <w:rtl w:val="0"/>
          <w:lang w:val="en-US"/>
        </w:rPr>
        <w:t>s Workhouse Door</w:t>
      </w:r>
    </w:p>
    <w:p>
      <w:pPr>
        <w:pStyle w:val="Body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Heavy" w:hAnsi="Avenir Heavy"/>
          <w:sz w:val="20"/>
          <w:szCs w:val="20"/>
          <w:rtl w:val="0"/>
          <w:lang w:val="en-US"/>
        </w:rPr>
        <w:t>Explore, Experience, Endure</w:t>
      </w:r>
      <w:r>
        <w:rPr>
          <w:rFonts w:ascii="Avenir Heavy" w:hAnsi="Avenir Heavy" w:hint="default"/>
          <w:sz w:val="20"/>
          <w:szCs w:val="20"/>
          <w:rtl w:val="0"/>
          <w:lang w:val="en-US"/>
        </w:rPr>
        <w:t>’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This exhibition offers families, especially for those children learning about the Victorians, to discover history on their door step! 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Visitor's are invited</w:t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 to cross the threshold of the Workhouse and discover what life was really like for the men, women, and children who passed through its doors </w:t>
      </w:r>
      <w:r>
        <w:rPr>
          <w:rFonts w:ascii="Avenir Book" w:hAnsi="Avenir Book" w:hint="default"/>
          <w:sz w:val="20"/>
          <w:szCs w:val="20"/>
          <w:rtl w:val="0"/>
          <w:lang w:val="en-US"/>
        </w:rPr>
        <w:t xml:space="preserve">— </w:t>
      </w:r>
      <w:r>
        <w:rPr>
          <w:rFonts w:ascii="Avenir Book" w:hAnsi="Avenir Book"/>
          <w:sz w:val="20"/>
          <w:szCs w:val="20"/>
          <w:rtl w:val="0"/>
          <w:lang w:val="en-US"/>
        </w:rPr>
        <w:t>not by choice, but through necessity.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 w:hint="default"/>
          <w:sz w:val="20"/>
          <w:szCs w:val="20"/>
          <w:rtl w:val="0"/>
        </w:rPr>
        <w:t> </w:t>
      </w:r>
      <w:r>
        <w:rPr>
          <w:rFonts w:ascii="Avenir Heavy" w:hAnsi="Avenir Heavy"/>
          <w:sz w:val="20"/>
          <w:szCs w:val="20"/>
          <w:rtl w:val="0"/>
          <w:lang w:val="en-US"/>
        </w:rPr>
        <w:t>'Agatha Christie's Wallingford'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Wallingford Museum will mark the 50th anniversary year of Dame Agatha Christie's death at Winterbrook House, with a special exhibition highlighting aspects of life in Wallingford during her later life.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The final exhibition is </w:t>
      </w:r>
      <w:r>
        <w:rPr>
          <w:rFonts w:ascii="Avenir Book" w:hAnsi="Avenir Book" w:hint="default"/>
          <w:sz w:val="20"/>
          <w:szCs w:val="20"/>
          <w:rtl w:val="0"/>
          <w:lang w:val="en-US"/>
        </w:rPr>
        <w:t>‘</w:t>
      </w:r>
      <w:r>
        <w:rPr>
          <w:rFonts w:ascii="Avenir Heavy" w:hAnsi="Avenir Heavy"/>
          <w:sz w:val="20"/>
          <w:szCs w:val="20"/>
          <w:rtl w:val="0"/>
          <w:lang w:val="en-US"/>
        </w:rPr>
        <w:t>Digging for Wallingford - Archaeology at Work</w:t>
      </w:r>
      <w:r>
        <w:rPr>
          <w:rFonts w:ascii="Avenir Heavy" w:hAnsi="Avenir Heavy" w:hint="default"/>
          <w:sz w:val="20"/>
          <w:szCs w:val="20"/>
          <w:rtl w:val="0"/>
          <w:lang w:val="en-US"/>
        </w:rPr>
        <w:t xml:space="preserve">’ </w:t>
      </w:r>
      <w:r>
        <w:rPr>
          <w:rFonts w:ascii="Avenir Heavy" w:hAnsi="Avenir Heavy"/>
          <w:sz w:val="20"/>
          <w:szCs w:val="20"/>
          <w:rtl w:val="0"/>
          <w:lang w:val="en-US"/>
        </w:rPr>
        <w:t xml:space="preserve">- </w:t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discover more 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about the work of the </w:t>
      </w:r>
      <w:r>
        <w:rPr>
          <w:rFonts w:ascii="Avenir Heavy" w:hAnsi="Avenir Heavy"/>
          <w:sz w:val="20"/>
          <w:szCs w:val="20"/>
          <w:rtl w:val="0"/>
          <w:lang w:val="en-US"/>
        </w:rPr>
        <w:t>TWHAS archaeologists.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Body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Heavy" w:hAnsi="Avenir Heavy"/>
          <w:sz w:val="20"/>
          <w:szCs w:val="20"/>
          <w:rtl w:val="0"/>
          <w:lang w:val="en-US"/>
        </w:rPr>
        <w:t xml:space="preserve">The Wallingford Historical and Archaeological Society (TWHAS) 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March 11 (Weds) -</w:t>
      </w:r>
      <w:r>
        <w:rPr>
          <w:rFonts w:ascii="Avenir Book" w:hAnsi="Avenir Book" w:hint="default"/>
          <w:sz w:val="20"/>
          <w:szCs w:val="20"/>
          <w:rtl w:val="0"/>
        </w:rPr>
        <w:t> </w:t>
      </w:r>
      <w:r>
        <w:rPr>
          <w:rFonts w:ascii="Avenir Book" w:hAnsi="Avenir Book"/>
          <w:sz w:val="20"/>
          <w:szCs w:val="20"/>
          <w:rtl w:val="0"/>
          <w:lang w:val="en-US"/>
        </w:rPr>
        <w:t>Andy Hood:</w:t>
      </w:r>
      <w:r>
        <w:rPr>
          <w:rFonts w:ascii="Avenir Book" w:hAnsi="Avenir Book" w:hint="default"/>
          <w:sz w:val="20"/>
          <w:szCs w:val="20"/>
          <w:rtl w:val="0"/>
        </w:rPr>
        <w:t>   “</w:t>
      </w:r>
      <w:r>
        <w:rPr>
          <w:rFonts w:ascii="Avenir Book" w:hAnsi="Avenir Book"/>
          <w:sz w:val="20"/>
          <w:szCs w:val="20"/>
          <w:rtl w:val="0"/>
          <w:lang w:val="en-US"/>
        </w:rPr>
        <w:t>On-going excavations at Winterbrook and New Barn Farm by Foundations Archaeology, with an update on the Cholsey Roman villa report</w:t>
      </w:r>
      <w:r>
        <w:rPr>
          <w:rFonts w:ascii="Avenir Book" w:hAnsi="Avenir Book" w:hint="default"/>
          <w:sz w:val="20"/>
          <w:szCs w:val="20"/>
          <w:rtl w:val="0"/>
        </w:rPr>
        <w:t>”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Style w:val="Hyperlink.0"/>
          <w:rFonts w:ascii="Avenir Book" w:cs="Avenir Book" w:hAnsi="Avenir Book" w:eastAsia="Avenir Book"/>
          <w:sz w:val="20"/>
          <w:szCs w:val="20"/>
        </w:rPr>
        <w:fldChar w:fldCharType="begin" w:fldLock="0"/>
      </w:r>
      <w:r>
        <w:rPr>
          <w:rStyle w:val="Hyperlink.0"/>
          <w:rFonts w:ascii="Avenir Book" w:cs="Avenir Book" w:hAnsi="Avenir Book" w:eastAsia="Avenir Book"/>
          <w:sz w:val="20"/>
          <w:szCs w:val="20"/>
        </w:rPr>
        <w:instrText xml:space="preserve"> HYPERLINK "https://www.twhas.org.uk/meetings-programme.html"</w:instrText>
      </w:r>
      <w:r>
        <w:rPr>
          <w:rStyle w:val="Hyperlink.0"/>
          <w:rFonts w:ascii="Avenir Book" w:cs="Avenir Book" w:hAnsi="Avenir Book" w:eastAsia="Avenir Book"/>
          <w:sz w:val="20"/>
          <w:szCs w:val="20"/>
        </w:rPr>
        <w:fldChar w:fldCharType="separate" w:fldLock="0"/>
      </w:r>
      <w:r>
        <w:rPr>
          <w:rStyle w:val="Hyperlink.0"/>
          <w:rFonts w:ascii="Avenir Book" w:hAnsi="Avenir Book"/>
          <w:sz w:val="20"/>
          <w:szCs w:val="20"/>
          <w:rtl w:val="0"/>
          <w:lang w:val="en-US"/>
        </w:rPr>
        <w:t>https://www.twhas.org.uk/meetings-programme.html</w:t>
      </w:r>
      <w:r>
        <w:rPr>
          <w:rFonts w:ascii="Avenir Book" w:cs="Avenir Book" w:hAnsi="Avenir Book" w:eastAsia="Avenir Book"/>
          <w:sz w:val="20"/>
          <w:szCs w:val="20"/>
        </w:rPr>
        <w:fldChar w:fldCharType="end" w:fldLock="0"/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 for the 2026 talks programme.</w:t>
      </w: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Body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Sue Wright</w:t>
      </w:r>
    </w:p>
    <w:p>
      <w:pPr>
        <w:pStyle w:val="Body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Wallingford Museum</w:t>
      </w:r>
    </w:p>
    <w:p>
      <w:pPr>
        <w:pStyle w:val="Body"/>
        <w:rPr>
          <w:rFonts w:ascii="Avenir Heavy" w:cs="Avenir Heavy" w:hAnsi="Avenir Heavy" w:eastAsia="Avenir Heavy"/>
          <w:sz w:val="20"/>
          <w:szCs w:val="20"/>
        </w:rPr>
      </w:pPr>
    </w:p>
    <w:p>
      <w:pPr>
        <w:pStyle w:val="Body"/>
      </w:pPr>
      <w:r>
        <w:rPr>
          <w:rFonts w:ascii="Avenir Book" w:cs="Avenir Book" w:hAnsi="Avenir Book" w:eastAsia="Avenir Book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